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5C9" w:rsidRDefault="005105C9">
      <w:pPr>
        <w:rPr>
          <w:rFonts w:ascii="Times New Roman" w:hAnsi="Times New Roman" w:cs="Times New Roman"/>
          <w:b/>
          <w:sz w:val="28"/>
          <w:szCs w:val="28"/>
        </w:rPr>
      </w:pPr>
    </w:p>
    <w:p w:rsidR="00900D1C" w:rsidRPr="00900D1C" w:rsidRDefault="00900D1C" w:rsidP="00900D1C">
      <w:pPr>
        <w:jc w:val="both"/>
        <w:rPr>
          <w:rFonts w:ascii="Times New Roman" w:hAnsi="Times New Roman" w:cs="Times New Roman"/>
          <w:sz w:val="32"/>
          <w:szCs w:val="32"/>
        </w:rPr>
      </w:pPr>
      <w:r w:rsidRPr="00900D1C">
        <w:rPr>
          <w:rFonts w:ascii="Times New Roman" w:hAnsi="Times New Roman" w:cs="Times New Roman"/>
          <w:sz w:val="32"/>
          <w:szCs w:val="32"/>
        </w:rPr>
        <w:t>Потребители на розничном рынке с 1 июля 2020 года не несут ответственность за обслуживание приборов учета электрической энергии.</w:t>
      </w:r>
    </w:p>
    <w:p w:rsidR="00900D1C" w:rsidRDefault="00900D1C">
      <w:pPr>
        <w:rPr>
          <w:rFonts w:ascii="Times New Roman" w:hAnsi="Times New Roman" w:cs="Times New Roman"/>
          <w:b/>
          <w:sz w:val="28"/>
          <w:szCs w:val="28"/>
        </w:rPr>
      </w:pPr>
    </w:p>
    <w:p w:rsidR="00142D75" w:rsidRDefault="00142D75">
      <w:pPr>
        <w:rPr>
          <w:rFonts w:ascii="Times New Roman" w:hAnsi="Times New Roman" w:cs="Times New Roman"/>
          <w:sz w:val="28"/>
          <w:szCs w:val="28"/>
        </w:rPr>
      </w:pPr>
      <w:r w:rsidRPr="00A24717">
        <w:rPr>
          <w:rFonts w:ascii="Times New Roman" w:hAnsi="Times New Roman" w:cs="Times New Roman"/>
          <w:b/>
          <w:sz w:val="28"/>
          <w:szCs w:val="28"/>
        </w:rPr>
        <w:t>Федеральный закон от 27.12.2018 № 522-ФЗ </w:t>
      </w:r>
      <w:hyperlink r:id="rId5" w:history="1">
        <w:r w:rsidRPr="00A24717">
          <w:rPr>
            <w:rFonts w:ascii="Times New Roman" w:hAnsi="Times New Roman" w:cs="Times New Roman"/>
            <w:b/>
            <w:sz w:val="28"/>
            <w:szCs w:val="28"/>
          </w:rPr>
          <w:t>"О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Федерации"</w:t>
        </w:r>
      </w:hyperlink>
      <w:r w:rsidR="00A2471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42D75" w:rsidRPr="00142D75" w:rsidRDefault="0068244F" w:rsidP="0068244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2D75" w:rsidRPr="00142D75">
        <w:rPr>
          <w:rFonts w:ascii="Times New Roman" w:hAnsi="Times New Roman" w:cs="Times New Roman"/>
          <w:sz w:val="28"/>
          <w:szCs w:val="28"/>
        </w:rPr>
        <w:t>Введено понятие интеллектуальной системы учета электрической энергии (мощности).</w:t>
      </w:r>
    </w:p>
    <w:p w:rsidR="00142D75" w:rsidRPr="00142D75" w:rsidRDefault="0068244F" w:rsidP="0068244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2D75" w:rsidRPr="00142D75">
        <w:rPr>
          <w:rFonts w:ascii="Times New Roman" w:hAnsi="Times New Roman" w:cs="Times New Roman"/>
          <w:sz w:val="28"/>
          <w:szCs w:val="28"/>
        </w:rPr>
        <w:t xml:space="preserve">Коммерческий учет электрической энергии в целях оказания коммунальных услуг в многоквартирных и жилых </w:t>
      </w:r>
      <w:proofErr w:type="gramStart"/>
      <w:r w:rsidR="00142D75" w:rsidRPr="00142D75">
        <w:rPr>
          <w:rFonts w:ascii="Times New Roman" w:hAnsi="Times New Roman" w:cs="Times New Roman"/>
          <w:sz w:val="28"/>
          <w:szCs w:val="28"/>
        </w:rPr>
        <w:t>домах </w:t>
      </w:r>
      <w:r w:rsidR="00F76499" w:rsidRPr="00142D7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F76499" w:rsidRPr="00142D75">
        <w:rPr>
          <w:rFonts w:ascii="Times New Roman" w:hAnsi="Times New Roman" w:cs="Times New Roman"/>
          <w:sz w:val="28"/>
          <w:szCs w:val="28"/>
        </w:rPr>
        <w:t>в том числе в общедомовых помещениях)</w:t>
      </w:r>
      <w:r w:rsidR="00F76499">
        <w:rPr>
          <w:rFonts w:ascii="Times New Roman" w:hAnsi="Times New Roman" w:cs="Times New Roman"/>
          <w:sz w:val="28"/>
          <w:szCs w:val="28"/>
        </w:rPr>
        <w:t xml:space="preserve"> </w:t>
      </w:r>
      <w:r w:rsidR="00142D75" w:rsidRPr="00142D75">
        <w:rPr>
          <w:rFonts w:ascii="Times New Roman" w:hAnsi="Times New Roman" w:cs="Times New Roman"/>
          <w:sz w:val="28"/>
          <w:szCs w:val="28"/>
        </w:rPr>
        <w:t>с 1 июля 2020 года обеспечивают г</w:t>
      </w:r>
      <w:hyperlink r:id="rId6" w:history="1">
        <w:r w:rsidR="00142D75" w:rsidRPr="00142D75">
          <w:rPr>
            <w:rFonts w:ascii="Times New Roman" w:hAnsi="Times New Roman" w:cs="Times New Roman"/>
            <w:sz w:val="28"/>
            <w:szCs w:val="28"/>
          </w:rPr>
          <w:t>арантирующие поставщики</w:t>
        </w:r>
      </w:hyperlink>
      <w:r w:rsidR="00142D75" w:rsidRPr="00142D75">
        <w:rPr>
          <w:rFonts w:ascii="Times New Roman" w:hAnsi="Times New Roman" w:cs="Times New Roman"/>
          <w:sz w:val="28"/>
          <w:szCs w:val="28"/>
        </w:rPr>
        <w:t>.</w:t>
      </w:r>
    </w:p>
    <w:p w:rsidR="00142D75" w:rsidRPr="00142D75" w:rsidRDefault="0068244F" w:rsidP="0068244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2D75" w:rsidRPr="00142D75">
        <w:rPr>
          <w:rFonts w:ascii="Times New Roman" w:hAnsi="Times New Roman" w:cs="Times New Roman"/>
          <w:sz w:val="28"/>
          <w:szCs w:val="28"/>
        </w:rPr>
        <w:t xml:space="preserve">Коммерческий учет электрической энергии в отношении </w:t>
      </w:r>
      <w:proofErr w:type="spellStart"/>
      <w:r w:rsidR="00142D75" w:rsidRPr="00142D75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142D75" w:rsidRPr="00142D75">
        <w:rPr>
          <w:rFonts w:ascii="Times New Roman" w:hAnsi="Times New Roman" w:cs="Times New Roman"/>
          <w:sz w:val="28"/>
          <w:szCs w:val="28"/>
        </w:rPr>
        <w:t xml:space="preserve"> устройств потребителей, приобретающих электрическую энергию на розничных рынках, объектах по производству электроэнергии на розничных рынках и объектах электросетевого хозяйства, принадлежащих сетевым организациям, с 1 июля 2020 года обеспечивают сетевые организации.</w:t>
      </w:r>
    </w:p>
    <w:p w:rsidR="00142D75" w:rsidRPr="00142D75" w:rsidRDefault="0068244F" w:rsidP="0068244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2D75" w:rsidRPr="00142D75">
        <w:rPr>
          <w:rFonts w:ascii="Times New Roman" w:hAnsi="Times New Roman" w:cs="Times New Roman"/>
          <w:sz w:val="28"/>
          <w:szCs w:val="28"/>
        </w:rPr>
        <w:t>Гарантирующие поставщики и сетевые организации осуществля</w:t>
      </w:r>
      <w:r w:rsidR="00A45BF3">
        <w:rPr>
          <w:rFonts w:ascii="Times New Roman" w:hAnsi="Times New Roman" w:cs="Times New Roman"/>
          <w:sz w:val="28"/>
          <w:szCs w:val="28"/>
        </w:rPr>
        <w:t>ют</w:t>
      </w:r>
      <w:r w:rsidR="00142D75" w:rsidRPr="00142D75">
        <w:rPr>
          <w:rFonts w:ascii="Times New Roman" w:hAnsi="Times New Roman" w:cs="Times New Roman"/>
          <w:sz w:val="28"/>
          <w:szCs w:val="28"/>
        </w:rPr>
        <w:t xml:space="preserve"> установку, замену, допуск в эксплуатацию приборов учета электроэнергии, а также нематериальных активов, которые необходимы для обеспечения коммерческого учета при отсутствии, выходе из строя, истечении срока эксплуатации или истечении </w:t>
      </w:r>
      <w:proofErr w:type="spellStart"/>
      <w:r w:rsidR="00142D75" w:rsidRPr="00142D75">
        <w:rPr>
          <w:rFonts w:ascii="Times New Roman" w:hAnsi="Times New Roman" w:cs="Times New Roman"/>
          <w:sz w:val="28"/>
          <w:szCs w:val="28"/>
        </w:rPr>
        <w:t>межповерочного</w:t>
      </w:r>
      <w:proofErr w:type="spellEnd"/>
      <w:r w:rsidR="00142D75" w:rsidRPr="00142D75">
        <w:rPr>
          <w:rFonts w:ascii="Times New Roman" w:hAnsi="Times New Roman" w:cs="Times New Roman"/>
          <w:sz w:val="28"/>
          <w:szCs w:val="28"/>
        </w:rPr>
        <w:t xml:space="preserve"> интервала приборов учета или иного оборудования, которое используется для коммерческого учета электроэнергии, в том числе не принадлежащих гарантирующему поставщику.</w:t>
      </w:r>
    </w:p>
    <w:p w:rsidR="00142D75" w:rsidRPr="00142D75" w:rsidRDefault="0068244F" w:rsidP="0068244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2D75" w:rsidRPr="00142D75">
        <w:rPr>
          <w:rFonts w:ascii="Times New Roman" w:hAnsi="Times New Roman" w:cs="Times New Roman"/>
          <w:sz w:val="28"/>
          <w:szCs w:val="28"/>
        </w:rPr>
        <w:t>Сетевые организации также осуществля</w:t>
      </w:r>
      <w:r w:rsidR="00A45BF3">
        <w:rPr>
          <w:rFonts w:ascii="Times New Roman" w:hAnsi="Times New Roman" w:cs="Times New Roman"/>
          <w:sz w:val="28"/>
          <w:szCs w:val="28"/>
        </w:rPr>
        <w:t>ют</w:t>
      </w:r>
      <w:r w:rsidR="00142D75" w:rsidRPr="00142D75">
        <w:rPr>
          <w:rFonts w:ascii="Times New Roman" w:hAnsi="Times New Roman" w:cs="Times New Roman"/>
          <w:sz w:val="28"/>
          <w:szCs w:val="28"/>
        </w:rPr>
        <w:t> установку приборов учета при технологическом присоединении, за исключением коллективных (общедомовых) приборов учета.</w:t>
      </w:r>
    </w:p>
    <w:p w:rsidR="00142D75" w:rsidRPr="00142D75" w:rsidRDefault="0068244F" w:rsidP="0068244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2D75" w:rsidRPr="00A24717">
        <w:rPr>
          <w:rFonts w:ascii="Times New Roman" w:hAnsi="Times New Roman" w:cs="Times New Roman"/>
          <w:sz w:val="28"/>
          <w:szCs w:val="28"/>
        </w:rPr>
        <w:t>С 1 января 2021 года многоквартирные дома</w:t>
      </w:r>
      <w:r w:rsidR="00142D75" w:rsidRPr="00142D75">
        <w:rPr>
          <w:rFonts w:ascii="Times New Roman" w:hAnsi="Times New Roman" w:cs="Times New Roman"/>
          <w:sz w:val="28"/>
          <w:szCs w:val="28"/>
        </w:rPr>
        <w:t>, вводимые в эксплуатацию после строительства, должны </w:t>
      </w:r>
      <w:r w:rsidR="00142D75" w:rsidRPr="00A24717">
        <w:rPr>
          <w:rFonts w:ascii="Times New Roman" w:hAnsi="Times New Roman" w:cs="Times New Roman"/>
          <w:sz w:val="28"/>
          <w:szCs w:val="28"/>
        </w:rPr>
        <w:t>быть оснащены</w:t>
      </w:r>
      <w:r w:rsidR="00142D75" w:rsidRPr="00142D75">
        <w:rPr>
          <w:rFonts w:ascii="Times New Roman" w:hAnsi="Times New Roman" w:cs="Times New Roman"/>
          <w:sz w:val="28"/>
          <w:szCs w:val="28"/>
        </w:rPr>
        <w:t> индивидуальными и общедомовыми </w:t>
      </w:r>
      <w:r w:rsidR="00142D75" w:rsidRPr="00A24717">
        <w:rPr>
          <w:rFonts w:ascii="Times New Roman" w:hAnsi="Times New Roman" w:cs="Times New Roman"/>
          <w:sz w:val="28"/>
          <w:szCs w:val="28"/>
        </w:rPr>
        <w:t xml:space="preserve">приборами учета, которые обеспечивают возможность присоединения их к интеллектуальным системам учета </w:t>
      </w:r>
      <w:proofErr w:type="gramStart"/>
      <w:r w:rsidR="00142D75" w:rsidRPr="00A24717">
        <w:rPr>
          <w:rFonts w:ascii="Times New Roman" w:hAnsi="Times New Roman" w:cs="Times New Roman"/>
          <w:sz w:val="28"/>
          <w:szCs w:val="28"/>
        </w:rPr>
        <w:t>электроэнергии </w:t>
      </w:r>
      <w:r w:rsidR="00142D75" w:rsidRPr="00142D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2D75" w:rsidRPr="00142D75" w:rsidRDefault="0068244F" w:rsidP="0068244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2D75" w:rsidRPr="00A24717">
        <w:rPr>
          <w:rFonts w:ascii="Times New Roman" w:hAnsi="Times New Roman" w:cs="Times New Roman"/>
          <w:sz w:val="28"/>
          <w:szCs w:val="28"/>
        </w:rPr>
        <w:t>С 1 января 2022 года все допускаемые в эксплуатацию приборы учета должны быть интеллектуальными.</w:t>
      </w:r>
    </w:p>
    <w:p w:rsidR="00702AF6" w:rsidRDefault="00702AF6" w:rsidP="0068244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7363B" w:rsidRDefault="0057363B" w:rsidP="0057363B">
      <w:pPr>
        <w:rPr>
          <w:rFonts w:ascii="Times New Roman" w:hAnsi="Times New Roman" w:cs="Times New Roman"/>
          <w:b/>
          <w:sz w:val="28"/>
          <w:szCs w:val="28"/>
        </w:rPr>
      </w:pPr>
      <w:r w:rsidRPr="005105C9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РФ от 18.04.2020 N 554 "О внесении изменений в некоторые акты Правительства Российской Федерации по вопросам совершенствования </w:t>
      </w:r>
      <w:proofErr w:type="spellStart"/>
      <w:r w:rsidRPr="005105C9">
        <w:rPr>
          <w:rFonts w:ascii="Times New Roman" w:hAnsi="Times New Roman" w:cs="Times New Roman"/>
          <w:b/>
          <w:sz w:val="28"/>
          <w:szCs w:val="28"/>
        </w:rPr>
        <w:t>орг</w:t>
      </w:r>
      <w:r w:rsidR="008B4E54">
        <w:rPr>
          <w:rFonts w:ascii="Times New Roman" w:hAnsi="Times New Roman" w:cs="Times New Roman"/>
          <w:b/>
          <w:sz w:val="28"/>
          <w:szCs w:val="28"/>
        </w:rPr>
        <w:t>ция</w:t>
      </w:r>
      <w:r w:rsidRPr="005105C9">
        <w:rPr>
          <w:rFonts w:ascii="Times New Roman" w:hAnsi="Times New Roman" w:cs="Times New Roman"/>
          <w:b/>
          <w:sz w:val="28"/>
          <w:szCs w:val="28"/>
        </w:rPr>
        <w:t>анизации</w:t>
      </w:r>
      <w:proofErr w:type="spellEnd"/>
      <w:r w:rsidRPr="005105C9">
        <w:rPr>
          <w:rFonts w:ascii="Times New Roman" w:hAnsi="Times New Roman" w:cs="Times New Roman"/>
          <w:b/>
          <w:sz w:val="28"/>
          <w:szCs w:val="28"/>
        </w:rPr>
        <w:t xml:space="preserve"> учета электрической энергии"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7363B" w:rsidRPr="0057363B" w:rsidRDefault="0057363B" w:rsidP="0057363B">
      <w:pPr>
        <w:rPr>
          <w:rFonts w:ascii="Times New Roman" w:hAnsi="Times New Roman" w:cs="Times New Roman"/>
          <w:sz w:val="28"/>
          <w:szCs w:val="28"/>
        </w:rPr>
      </w:pPr>
      <w:r w:rsidRPr="005736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6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утверждена новая </w:t>
      </w:r>
      <w:r w:rsidR="008B4E54">
        <w:rPr>
          <w:rFonts w:ascii="Times New Roman" w:hAnsi="Times New Roman" w:cs="Times New Roman"/>
          <w:sz w:val="28"/>
          <w:szCs w:val="28"/>
        </w:rPr>
        <w:t xml:space="preserve">редакция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Правил организации учета электрической энергии на розничных рынках.</w:t>
      </w:r>
    </w:p>
    <w:p w:rsidR="0068244F" w:rsidRDefault="0057363B" w:rsidP="0057363B">
      <w:pPr>
        <w:jc w:val="both"/>
        <w:rPr>
          <w:rFonts w:ascii="Times New Roman" w:hAnsi="Times New Roman" w:cs="Times New Roman"/>
          <w:sz w:val="28"/>
          <w:szCs w:val="28"/>
        </w:rPr>
      </w:pPr>
      <w:r w:rsidRPr="005105C9">
        <w:rPr>
          <w:rFonts w:ascii="Times New Roman" w:hAnsi="Times New Roman" w:cs="Times New Roman"/>
          <w:b/>
          <w:sz w:val="28"/>
          <w:szCs w:val="28"/>
        </w:rPr>
        <w:br/>
      </w:r>
    </w:p>
    <w:p w:rsidR="0068244F" w:rsidRDefault="0068244F" w:rsidP="006824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44F" w:rsidRDefault="0068244F" w:rsidP="006824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16F" w:rsidRDefault="00AE716F" w:rsidP="0068244F">
      <w:pPr>
        <w:shd w:val="clear" w:color="auto" w:fill="FFFFFF"/>
        <w:spacing w:after="255" w:line="300" w:lineRule="atLeas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E716F">
        <w:rPr>
          <w:rFonts w:ascii="Times New Roman" w:hAnsi="Times New Roman" w:cs="Times New Roman"/>
          <w:b/>
          <w:sz w:val="28"/>
          <w:szCs w:val="28"/>
        </w:rPr>
        <w:t>Постановление Правительства РФ от 19 июня 2020 г. N 890 “О порядке предоставления доступа к минимальному набору функций интеллектуальных систем учета электрической энергии (мощности)”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8244F" w:rsidRPr="0068244F" w:rsidRDefault="0068244F" w:rsidP="0068244F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rFonts w:eastAsiaTheme="minorHAnsi"/>
          <w:sz w:val="28"/>
          <w:szCs w:val="28"/>
          <w:lang w:eastAsia="en-US"/>
        </w:rPr>
      </w:pPr>
      <w:r w:rsidRPr="0068244F">
        <w:rPr>
          <w:rFonts w:eastAsiaTheme="minorHAnsi"/>
          <w:sz w:val="28"/>
          <w:szCs w:val="28"/>
          <w:lang w:eastAsia="en-US"/>
        </w:rPr>
        <w:t>Правительство определило:</w:t>
      </w:r>
    </w:p>
    <w:p w:rsidR="0068244F" w:rsidRPr="0068244F" w:rsidRDefault="0068244F" w:rsidP="0068244F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rFonts w:eastAsiaTheme="minorHAnsi"/>
          <w:sz w:val="28"/>
          <w:szCs w:val="28"/>
          <w:lang w:eastAsia="en-US"/>
        </w:rPr>
      </w:pPr>
      <w:r w:rsidRPr="0068244F">
        <w:rPr>
          <w:rFonts w:eastAsiaTheme="minorHAnsi"/>
          <w:sz w:val="28"/>
          <w:szCs w:val="28"/>
          <w:lang w:eastAsia="en-US"/>
        </w:rPr>
        <w:t>- общие принципы предоставления доступа к интеллектуальной системе учета электроэнергии (мощности);</w:t>
      </w:r>
    </w:p>
    <w:p w:rsidR="0068244F" w:rsidRPr="0068244F" w:rsidRDefault="0068244F" w:rsidP="0068244F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rFonts w:eastAsiaTheme="minorHAnsi"/>
          <w:sz w:val="28"/>
          <w:szCs w:val="28"/>
          <w:lang w:eastAsia="en-US"/>
        </w:rPr>
      </w:pPr>
      <w:r w:rsidRPr="0068244F">
        <w:rPr>
          <w:rFonts w:eastAsiaTheme="minorHAnsi"/>
          <w:sz w:val="28"/>
          <w:szCs w:val="28"/>
          <w:lang w:eastAsia="en-US"/>
        </w:rPr>
        <w:t>- перечень функций интеллектуальной системы учета и требования к ним;</w:t>
      </w:r>
    </w:p>
    <w:p w:rsidR="0068244F" w:rsidRPr="0068244F" w:rsidRDefault="0068244F" w:rsidP="0068244F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rFonts w:eastAsiaTheme="minorHAnsi"/>
          <w:sz w:val="28"/>
          <w:szCs w:val="28"/>
          <w:lang w:eastAsia="en-US"/>
        </w:rPr>
      </w:pPr>
      <w:r w:rsidRPr="0068244F">
        <w:rPr>
          <w:rFonts w:eastAsiaTheme="minorHAnsi"/>
          <w:sz w:val="28"/>
          <w:szCs w:val="28"/>
          <w:lang w:eastAsia="en-US"/>
        </w:rPr>
        <w:t>- перечень функций приборов учета электроэнергии, которые могут быть присоединены к интеллектуальной системе, и требования к ним;</w:t>
      </w:r>
    </w:p>
    <w:p w:rsidR="0068244F" w:rsidRPr="0068244F" w:rsidRDefault="0068244F" w:rsidP="0068244F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rFonts w:eastAsiaTheme="minorHAnsi"/>
          <w:sz w:val="28"/>
          <w:szCs w:val="28"/>
          <w:lang w:eastAsia="en-US"/>
        </w:rPr>
      </w:pPr>
      <w:r w:rsidRPr="0068244F">
        <w:rPr>
          <w:rFonts w:eastAsiaTheme="minorHAnsi"/>
          <w:sz w:val="28"/>
          <w:szCs w:val="28"/>
          <w:lang w:eastAsia="en-US"/>
        </w:rPr>
        <w:t>- правила присоединения приборов учета к интеллектуальной системе;</w:t>
      </w:r>
    </w:p>
    <w:p w:rsidR="0068244F" w:rsidRPr="0068244F" w:rsidRDefault="0068244F" w:rsidP="0068244F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rFonts w:eastAsiaTheme="minorHAnsi"/>
          <w:sz w:val="28"/>
          <w:szCs w:val="28"/>
          <w:lang w:eastAsia="en-US"/>
        </w:rPr>
      </w:pPr>
      <w:r w:rsidRPr="0068244F">
        <w:rPr>
          <w:rFonts w:eastAsiaTheme="minorHAnsi"/>
          <w:sz w:val="28"/>
          <w:szCs w:val="28"/>
          <w:lang w:eastAsia="en-US"/>
        </w:rPr>
        <w:t>- требования по защите информации в интеллектуальной системе, порядок, форматы и протоколы обмена информацией.</w:t>
      </w:r>
    </w:p>
    <w:p w:rsidR="0068244F" w:rsidRPr="00AE716F" w:rsidRDefault="0068244F" w:rsidP="0068244F">
      <w:pPr>
        <w:shd w:val="clear" w:color="auto" w:fill="FFFFFF"/>
        <w:spacing w:after="255" w:line="30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716F" w:rsidRDefault="00AE716F" w:rsidP="006824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16F" w:rsidRPr="00540F95" w:rsidRDefault="00AE716F" w:rsidP="006824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716F" w:rsidRPr="00540F95" w:rsidSect="0057363B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650A"/>
    <w:multiLevelType w:val="multilevel"/>
    <w:tmpl w:val="EF20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B37C2"/>
    <w:multiLevelType w:val="multilevel"/>
    <w:tmpl w:val="AD64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B72332"/>
    <w:multiLevelType w:val="multilevel"/>
    <w:tmpl w:val="FE8E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B51E33"/>
    <w:multiLevelType w:val="multilevel"/>
    <w:tmpl w:val="83FC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95"/>
    <w:rsid w:val="00142D75"/>
    <w:rsid w:val="002B0160"/>
    <w:rsid w:val="005105C9"/>
    <w:rsid w:val="00540F95"/>
    <w:rsid w:val="0057363B"/>
    <w:rsid w:val="0068244F"/>
    <w:rsid w:val="00702AF6"/>
    <w:rsid w:val="008B4E54"/>
    <w:rsid w:val="00900D1C"/>
    <w:rsid w:val="00A24717"/>
    <w:rsid w:val="00A45BF3"/>
    <w:rsid w:val="00AE716F"/>
    <w:rsid w:val="00F76499"/>
    <w:rsid w:val="00F7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FB265-7748-4473-98E4-0A5C936A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2D75"/>
    <w:rPr>
      <w:b/>
      <w:bCs/>
    </w:rPr>
  </w:style>
  <w:style w:type="character" w:styleId="a4">
    <w:name w:val="Hyperlink"/>
    <w:basedOn w:val="a0"/>
    <w:uiPriority w:val="99"/>
    <w:semiHidden/>
    <w:unhideWhenUsed/>
    <w:rsid w:val="00142D7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8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ergo.blog/2017/06/status_gp/" TargetMode="External"/><Relationship Id="rId5" Type="http://schemas.openxmlformats.org/officeDocument/2006/relationships/hyperlink" Target="http://publication.pravo.gov.ru/Document/View/00012018122800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2021-03-29T07:57:00Z</dcterms:created>
  <dcterms:modified xsi:type="dcterms:W3CDTF">2021-03-29T09:55:00Z</dcterms:modified>
</cp:coreProperties>
</file>